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8A7C" w14:textId="13459D6F" w:rsidR="00AC3E35" w:rsidRPr="00C01B2C" w:rsidRDefault="00EB7A19" w:rsidP="00E45993">
      <w:pPr>
        <w:pStyle w:val="Heading2"/>
      </w:pPr>
      <w:r>
        <w:t>Joint account rules –</w:t>
      </w:r>
      <w:r w:rsidR="00C01B2C">
        <w:t xml:space="preserve"> </w:t>
      </w:r>
      <w:r w:rsidR="00551672">
        <w:t>key additions</w:t>
      </w:r>
      <w:r w:rsidR="00C01B2C">
        <w:t xml:space="preserve"> and differences</w:t>
      </w:r>
      <w:r w:rsidR="00551672">
        <w:t xml:space="preserve"> in version 2</w:t>
      </w:r>
      <w:r w:rsidR="00C01B2C">
        <w:t xml:space="preserve"> of the </w:t>
      </w:r>
      <w:r w:rsidR="00C01B2C" w:rsidRPr="00C01B2C">
        <w:rPr>
          <w:i/>
        </w:rPr>
        <w:t>Competition and Consumer (Consumer Data Right) Rules 2020</w:t>
      </w:r>
      <w:r w:rsidR="00C01B2C">
        <w:rPr>
          <w:i/>
        </w:rPr>
        <w:t xml:space="preserve"> </w:t>
      </w:r>
      <w:r w:rsidR="00C01B2C">
        <w:t>(</w:t>
      </w:r>
      <w:r w:rsidR="00C01B2C">
        <w:rPr>
          <w:b/>
        </w:rPr>
        <w:t>rules</w:t>
      </w:r>
      <w:r w:rsidR="00C01B2C">
        <w:t>)</w:t>
      </w:r>
    </w:p>
    <w:p w14:paraId="6A5B633C" w14:textId="77777777" w:rsidR="00EB7A19" w:rsidRDefault="00EB7A19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94"/>
        <w:gridCol w:w="1603"/>
        <w:gridCol w:w="1843"/>
        <w:gridCol w:w="8872"/>
      </w:tblGrid>
      <w:tr w:rsidR="005F5B1E" w14:paraId="0AFEBBAA" w14:textId="77777777" w:rsidTr="009E3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4EFAD4B4" w14:textId="77777777" w:rsidR="00B055D1" w:rsidRDefault="00B055D1"/>
        </w:tc>
        <w:tc>
          <w:tcPr>
            <w:tcW w:w="1603" w:type="dxa"/>
          </w:tcPr>
          <w:p w14:paraId="07BEEA6A" w14:textId="72C05FB7" w:rsidR="00B055D1" w:rsidRDefault="00B05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1</w:t>
            </w:r>
            <w:r w:rsidR="00472F7E">
              <w:t xml:space="preserve"> </w:t>
            </w:r>
            <w:r w:rsidR="00ED7336">
              <w:t xml:space="preserve">- </w:t>
            </w:r>
            <w:r w:rsidR="00472F7E">
              <w:t>relevant rules</w:t>
            </w:r>
          </w:p>
        </w:tc>
        <w:tc>
          <w:tcPr>
            <w:tcW w:w="1843" w:type="dxa"/>
          </w:tcPr>
          <w:p w14:paraId="4233A300" w14:textId="2A47F62D" w:rsidR="00B055D1" w:rsidRDefault="00B05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2</w:t>
            </w:r>
            <w:r w:rsidR="00ED7336">
              <w:t xml:space="preserve"> -</w:t>
            </w:r>
            <w:r w:rsidR="00472F7E">
              <w:t xml:space="preserve"> relevant rules</w:t>
            </w:r>
          </w:p>
        </w:tc>
        <w:tc>
          <w:tcPr>
            <w:tcW w:w="8872" w:type="dxa"/>
          </w:tcPr>
          <w:p w14:paraId="5200FD35" w14:textId="76EAAEC8" w:rsidR="00B055D1" w:rsidRDefault="00551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differences/additions in version </w:t>
            </w:r>
            <w:r w:rsidR="005F5B1E">
              <w:t>2</w:t>
            </w:r>
          </w:p>
        </w:tc>
      </w:tr>
      <w:tr w:rsidR="005F5B1E" w14:paraId="3CE5134F" w14:textId="77777777" w:rsidTr="009E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69722154" w14:textId="77777777" w:rsidR="005A066B" w:rsidRPr="005A066B" w:rsidRDefault="003A52A9">
            <w:pPr>
              <w:rPr>
                <w:b w:val="0"/>
              </w:rPr>
            </w:pPr>
            <w:r>
              <w:rPr>
                <w:b w:val="0"/>
              </w:rPr>
              <w:t>Definition of joint account</w:t>
            </w:r>
          </w:p>
        </w:tc>
        <w:tc>
          <w:tcPr>
            <w:tcW w:w="1603" w:type="dxa"/>
          </w:tcPr>
          <w:p w14:paraId="66BD248C" w14:textId="1F29E237" w:rsidR="00621F51" w:rsidRPr="00256875" w:rsidRDefault="00621F51" w:rsidP="00904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3 cl</w:t>
            </w:r>
            <w:r w:rsidR="00B44CBC">
              <w:t>ause</w:t>
            </w:r>
            <w:r>
              <w:t xml:space="preserve"> 1.2 </w:t>
            </w:r>
          </w:p>
        </w:tc>
        <w:tc>
          <w:tcPr>
            <w:tcW w:w="1843" w:type="dxa"/>
          </w:tcPr>
          <w:p w14:paraId="62E62D5C" w14:textId="63E369A3" w:rsidR="00161619" w:rsidRDefault="00161619" w:rsidP="0025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3 cl</w:t>
            </w:r>
            <w:r w:rsidR="00B44CBC">
              <w:t>ause</w:t>
            </w:r>
            <w:r>
              <w:t xml:space="preserve"> 1.2</w:t>
            </w:r>
          </w:p>
        </w:tc>
        <w:tc>
          <w:tcPr>
            <w:tcW w:w="8872" w:type="dxa"/>
          </w:tcPr>
          <w:p w14:paraId="14C157E5" w14:textId="2E52A331" w:rsidR="001C032E" w:rsidRDefault="00551672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definition of</w:t>
            </w:r>
            <w:r w:rsidR="00CA043E">
              <w:t xml:space="preserve"> a</w:t>
            </w:r>
            <w:r>
              <w:t xml:space="preserve"> ‘joint account’ </w:t>
            </w:r>
            <w:r w:rsidR="00CA043E">
              <w:t>now</w:t>
            </w:r>
            <w:r w:rsidR="001C032E">
              <w:t>:</w:t>
            </w:r>
            <w:r w:rsidR="00CA043E">
              <w:t xml:space="preserve"> </w:t>
            </w:r>
          </w:p>
          <w:p w14:paraId="7905B4C9" w14:textId="1BC47BAD" w:rsidR="001C032E" w:rsidRDefault="001C032E" w:rsidP="009E3EF6">
            <w:pPr>
              <w:pStyle w:val="ListParagraph"/>
              <w:numPr>
                <w:ilvl w:val="1"/>
                <w:numId w:val="31"/>
              </w:numPr>
              <w:ind w:left="5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includes </w:t>
            </w:r>
            <w:r w:rsidR="00551672">
              <w:t xml:space="preserve">accounts where there are two </w:t>
            </w:r>
            <w:r w:rsidR="00551672" w:rsidRPr="00A20FFF">
              <w:rPr>
                <w:i/>
              </w:rPr>
              <w:t>or more</w:t>
            </w:r>
            <w:r w:rsidR="00551672">
              <w:t xml:space="preserve"> account holders</w:t>
            </w:r>
            <w:r w:rsidR="00CA043E">
              <w:t>,</w:t>
            </w:r>
            <w:r w:rsidR="00551672">
              <w:t xml:space="preserve"> rather than two account holders only</w:t>
            </w:r>
            <w:r>
              <w:t>; and</w:t>
            </w:r>
          </w:p>
          <w:p w14:paraId="113BC444" w14:textId="587FCDDE" w:rsidR="001C032E" w:rsidRDefault="001C032E" w:rsidP="009E3EF6">
            <w:pPr>
              <w:pStyle w:val="ListParagraph"/>
              <w:numPr>
                <w:ilvl w:val="1"/>
                <w:numId w:val="31"/>
              </w:numPr>
              <w:spacing w:after="240"/>
              <w:ind w:left="5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excludes partnerships accounts</w:t>
            </w:r>
            <w:r w:rsidR="009E3EF6">
              <w:t xml:space="preserve"> (which are dealt with separately in the rules)</w:t>
            </w:r>
            <w:r w:rsidR="00D45F75">
              <w:t>.</w:t>
            </w:r>
          </w:p>
        </w:tc>
      </w:tr>
      <w:tr w:rsidR="001C032E" w14:paraId="584433FA" w14:textId="77777777" w:rsidTr="009E3EF6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72C3E454" w14:textId="274E78B7" w:rsidR="001C032E" w:rsidRPr="009E3EF6" w:rsidRDefault="001C032E" w:rsidP="001C032E">
            <w:pPr>
              <w:rPr>
                <w:b w:val="0"/>
              </w:rPr>
            </w:pPr>
            <w:r>
              <w:rPr>
                <w:b w:val="0"/>
              </w:rPr>
              <w:t xml:space="preserve">Application and simplified outlines </w:t>
            </w:r>
          </w:p>
        </w:tc>
        <w:tc>
          <w:tcPr>
            <w:tcW w:w="1603" w:type="dxa"/>
          </w:tcPr>
          <w:p w14:paraId="601B5A02" w14:textId="244C94F1" w:rsidR="001C032E" w:rsidRDefault="001C032E" w:rsidP="00904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3" w:type="dxa"/>
          </w:tcPr>
          <w:p w14:paraId="1458E35C" w14:textId="01B553E0" w:rsidR="001C032E" w:rsidRDefault="001C032E" w:rsidP="00256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Schedule 3 clauses 4.2-4.4 </w:t>
            </w:r>
          </w:p>
        </w:tc>
        <w:tc>
          <w:tcPr>
            <w:tcW w:w="8872" w:type="dxa"/>
          </w:tcPr>
          <w:p w14:paraId="3116F1BA" w14:textId="7B6091D0" w:rsidR="001C032E" w:rsidRDefault="001C032E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 clauses set out the application of Part 4 and provide a simplified outline of the joint account rules in relation to the banking sector.</w:t>
            </w:r>
          </w:p>
        </w:tc>
      </w:tr>
      <w:tr w:rsidR="005F5B1E" w14:paraId="7212B166" w14:textId="77777777" w:rsidTr="009E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B2296CA" w14:textId="615126DB" w:rsidR="00B055D1" w:rsidRPr="00B055D1" w:rsidRDefault="00472F7E" w:rsidP="00261C0D">
            <w:pPr>
              <w:rPr>
                <w:b w:val="0"/>
              </w:rPr>
            </w:pPr>
            <w:r>
              <w:rPr>
                <w:b w:val="0"/>
              </w:rPr>
              <w:t>Joint account management service (</w:t>
            </w:r>
            <w:r w:rsidR="00B055D1" w:rsidRPr="00472F7E">
              <w:t>JAMS</w:t>
            </w:r>
            <w:r>
              <w:rPr>
                <w:b w:val="0"/>
              </w:rPr>
              <w:t>)</w:t>
            </w:r>
            <w:r w:rsidR="009E3EF6">
              <w:rPr>
                <w:b w:val="0"/>
              </w:rPr>
              <w:t>,</w:t>
            </w:r>
            <w:r w:rsidR="00B055D1">
              <w:rPr>
                <w:b w:val="0"/>
              </w:rPr>
              <w:t xml:space="preserve"> </w:t>
            </w:r>
            <w:r w:rsidR="005A066B">
              <w:rPr>
                <w:b w:val="0"/>
              </w:rPr>
              <w:t>disclosure options</w:t>
            </w:r>
            <w:r w:rsidR="009E3EF6">
              <w:rPr>
                <w:b w:val="0"/>
              </w:rPr>
              <w:t xml:space="preserve"> and approvals</w:t>
            </w:r>
          </w:p>
        </w:tc>
        <w:tc>
          <w:tcPr>
            <w:tcW w:w="1603" w:type="dxa"/>
          </w:tcPr>
          <w:p w14:paraId="639BF796" w14:textId="56EBD981" w:rsidR="00B055D1" w:rsidRPr="00D02BD1" w:rsidRDefault="00B44CBC" w:rsidP="00D02BD1">
            <w:pPr>
              <w:pStyle w:val="acthead5"/>
              <w:shd w:val="clear" w:color="auto" w:fill="FFFFFF"/>
              <w:spacing w:before="28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bookmarkStart w:id="0" w:name="_Toc11771734"/>
            <w:r w:rsidRPr="005700B2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Schedule 3 clause </w:t>
            </w:r>
            <w:r w:rsidR="00256875" w:rsidRPr="005700B2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4.2</w:t>
            </w:r>
            <w:bookmarkEnd w:id="0"/>
          </w:p>
        </w:tc>
        <w:tc>
          <w:tcPr>
            <w:tcW w:w="1843" w:type="dxa"/>
          </w:tcPr>
          <w:p w14:paraId="0F13D16A" w14:textId="4743F14C" w:rsidR="001369DB" w:rsidRPr="00CA043E" w:rsidRDefault="00256875" w:rsidP="00CA043E">
            <w:pPr>
              <w:pStyle w:val="acthead5"/>
              <w:shd w:val="clear" w:color="auto" w:fill="FFFFFF"/>
              <w:spacing w:before="28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8"/>
              </w:rPr>
            </w:pPr>
            <w:bookmarkStart w:id="1" w:name="_Toc51329591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Schedule 3 </w:t>
            </w:r>
            <w:r w:rsidR="00B44C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clauses 4.5-4.</w:t>
            </w:r>
            <w:bookmarkEnd w:id="1"/>
            <w:r w:rsidR="00261C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  <w:r w:rsidR="00D446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4.12-4.13</w:t>
            </w:r>
          </w:p>
        </w:tc>
        <w:tc>
          <w:tcPr>
            <w:tcW w:w="8872" w:type="dxa"/>
          </w:tcPr>
          <w:p w14:paraId="0655787F" w14:textId="596181DE" w:rsidR="00644212" w:rsidRDefault="003E72F3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concept</w:t>
            </w:r>
            <w:r w:rsidR="000E4BEE">
              <w:t>s</w:t>
            </w:r>
            <w:r>
              <w:t xml:space="preserve"> </w:t>
            </w:r>
            <w:r w:rsidR="00AB42ED">
              <w:t xml:space="preserve">of </w:t>
            </w:r>
            <w:r w:rsidR="00C01B2C">
              <w:t>‘</w:t>
            </w:r>
            <w:r>
              <w:t>disclosure options</w:t>
            </w:r>
            <w:r w:rsidR="00C01B2C">
              <w:t>’</w:t>
            </w:r>
            <w:r>
              <w:t xml:space="preserve"> </w:t>
            </w:r>
            <w:r w:rsidR="000E4BEE">
              <w:t xml:space="preserve">and ‘approvals’ are introduced </w:t>
            </w:r>
            <w:r w:rsidR="001D3C78">
              <w:t>in version 2</w:t>
            </w:r>
            <w:r w:rsidR="000E4BEE">
              <w:t xml:space="preserve">. These </w:t>
            </w:r>
            <w:r w:rsidR="00AB42ED">
              <w:t>terms</w:t>
            </w:r>
            <w:r w:rsidR="000E4BEE">
              <w:t xml:space="preserve"> are </w:t>
            </w:r>
            <w:r w:rsidR="001D3C78">
              <w:t xml:space="preserve">materially </w:t>
            </w:r>
            <w:r w:rsidR="003E5789">
              <w:t>equivalent to</w:t>
            </w:r>
            <w:r w:rsidR="001D3C78">
              <w:t xml:space="preserve"> </w:t>
            </w:r>
            <w:r w:rsidR="000E4BEE">
              <w:t>the</w:t>
            </w:r>
            <w:r w:rsidR="001D3C78">
              <w:t xml:space="preserve"> </w:t>
            </w:r>
            <w:r w:rsidR="00C01B2C">
              <w:t>‘</w:t>
            </w:r>
            <w:r w:rsidR="001D3C78">
              <w:t>election</w:t>
            </w:r>
            <w:r w:rsidR="00C01B2C">
              <w:t>’</w:t>
            </w:r>
            <w:r w:rsidR="001D3C78">
              <w:t xml:space="preserve"> </w:t>
            </w:r>
            <w:r w:rsidR="00AB42ED">
              <w:t>and ‘authorisation’ terms</w:t>
            </w:r>
            <w:r w:rsidR="000E4BEE">
              <w:t xml:space="preserve"> in </w:t>
            </w:r>
            <w:r w:rsidR="001D3C78">
              <w:t>version 1</w:t>
            </w:r>
            <w:r w:rsidR="00AB42ED">
              <w:t xml:space="preserve"> </w:t>
            </w:r>
            <w:r w:rsidR="001C032E">
              <w:t>and were adopted to</w:t>
            </w:r>
            <w:r w:rsidR="00AB42ED">
              <w:t xml:space="preserve"> increase the</w:t>
            </w:r>
            <w:r w:rsidR="00C92EB9">
              <w:t xml:space="preserve"> alignment of the </w:t>
            </w:r>
            <w:r w:rsidR="00AB42ED">
              <w:t xml:space="preserve">rules </w:t>
            </w:r>
            <w:r w:rsidR="000E4BEE">
              <w:t>with the technical implementation requirements.</w:t>
            </w:r>
          </w:p>
          <w:p w14:paraId="17FC6154" w14:textId="35083804" w:rsidR="00EB2EF8" w:rsidRDefault="00097940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JAM</w:t>
            </w:r>
            <w:r w:rsidR="00261C0D">
              <w:t>S</w:t>
            </w:r>
            <w:r w:rsidR="00ED5F6F">
              <w:t xml:space="preserve"> must</w:t>
            </w:r>
            <w:r w:rsidR="001C032E">
              <w:t xml:space="preserve"> now</w:t>
            </w:r>
            <w:r w:rsidR="00ED5F6F">
              <w:t xml:space="preserve"> be provided online, </w:t>
            </w:r>
            <w:r w:rsidR="00C01B2C">
              <w:t xml:space="preserve">whereas </w:t>
            </w:r>
            <w:r w:rsidR="00ED5F6F">
              <w:t xml:space="preserve">online functionality was </w:t>
            </w:r>
            <w:r>
              <w:t xml:space="preserve">optional </w:t>
            </w:r>
            <w:r w:rsidR="00ED5F6F">
              <w:t>in</w:t>
            </w:r>
            <w:r>
              <w:t xml:space="preserve"> version 1. </w:t>
            </w:r>
          </w:p>
          <w:p w14:paraId="482E880A" w14:textId="107EA2AA" w:rsidR="00A42571" w:rsidRDefault="00A42571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joint account holder may</w:t>
            </w:r>
            <w:r w:rsidR="001E4978">
              <w:t xml:space="preserve"> independently</w:t>
            </w:r>
            <w:r>
              <w:t xml:space="preserve"> remove an approval on</w:t>
            </w:r>
            <w:r w:rsidR="001E4978">
              <w:t xml:space="preserve"> a joint account</w:t>
            </w:r>
            <w:r w:rsidR="00C01B2C">
              <w:t>,</w:t>
            </w:r>
            <w:r w:rsidR="001E4978">
              <w:t xml:space="preserve"> regardless of</w:t>
            </w:r>
            <w:r w:rsidR="00C01B2C">
              <w:t xml:space="preserve"> the disclosure option in place. In ve</w:t>
            </w:r>
            <w:r w:rsidR="001E4978">
              <w:t>rsion 1</w:t>
            </w:r>
            <w:r w:rsidR="00C01B2C">
              <w:t xml:space="preserve">, </w:t>
            </w:r>
            <w:r w:rsidR="001E4978">
              <w:t>both joint account holders</w:t>
            </w:r>
            <w:r w:rsidR="00C01B2C">
              <w:t xml:space="preserve"> had to agree </w:t>
            </w:r>
            <w:r w:rsidR="001E4978">
              <w:t xml:space="preserve">to withdraw an </w:t>
            </w:r>
            <w:r w:rsidR="00C01B2C">
              <w:t>authorisation</w:t>
            </w:r>
            <w:r w:rsidR="001E4978">
              <w:t xml:space="preserve"> where </w:t>
            </w:r>
            <w:r w:rsidR="00C01B2C">
              <w:t xml:space="preserve">a </w:t>
            </w:r>
            <w:r w:rsidR="001E4978">
              <w:t xml:space="preserve">co-approval </w:t>
            </w:r>
            <w:r w:rsidR="00C01B2C">
              <w:t>disclosure option</w:t>
            </w:r>
            <w:r w:rsidR="0056708B">
              <w:t xml:space="preserve"> (previously referred to as</w:t>
            </w:r>
            <w:r w:rsidR="001C032E">
              <w:t xml:space="preserve"> a</w:t>
            </w:r>
            <w:r w:rsidR="0056708B">
              <w:t xml:space="preserve"> ‘two to authorise’ election)</w:t>
            </w:r>
            <w:r w:rsidR="00C01B2C">
              <w:t xml:space="preserve"> was in place</w:t>
            </w:r>
            <w:r w:rsidR="001E4978">
              <w:t xml:space="preserve">. </w:t>
            </w:r>
          </w:p>
          <w:p w14:paraId="34DE2BE4" w14:textId="184F6841" w:rsidR="00CC3DD7" w:rsidRDefault="009E3EF6" w:rsidP="009E3EF6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addition of c</w:t>
            </w:r>
            <w:r w:rsidR="00097940">
              <w:t>lause</w:t>
            </w:r>
            <w:r w:rsidR="00C01B2C">
              <w:t>s</w:t>
            </w:r>
            <w:r w:rsidR="00097940">
              <w:t xml:space="preserve"> 4.6(6)</w:t>
            </w:r>
            <w:r w:rsidR="00C01B2C">
              <w:t>-(8)</w:t>
            </w:r>
            <w:r w:rsidR="00097940">
              <w:t xml:space="preserve"> </w:t>
            </w:r>
            <w:r w:rsidR="00C01B2C">
              <w:t>provide</w:t>
            </w:r>
            <w:r>
              <w:t>s</w:t>
            </w:r>
            <w:r w:rsidR="00C01B2C">
              <w:t xml:space="preserve"> additional </w:t>
            </w:r>
            <w:r w:rsidR="00407166">
              <w:t xml:space="preserve">clarity </w:t>
            </w:r>
            <w:r w:rsidR="00C01B2C">
              <w:t>on how the JAMS functionality must be provided, including</w:t>
            </w:r>
            <w:r w:rsidR="00407166">
              <w:t xml:space="preserve"> around</w:t>
            </w:r>
            <w:r w:rsidR="00C01B2C">
              <w:t xml:space="preserve"> information that must be </w:t>
            </w:r>
            <w:r w:rsidR="00330102">
              <w:t>presented</w:t>
            </w:r>
            <w:r w:rsidR="00C01B2C">
              <w:t xml:space="preserve"> to consumers.</w:t>
            </w:r>
          </w:p>
          <w:p w14:paraId="1161DAC7" w14:textId="639FEC82" w:rsidR="00D4462D" w:rsidRPr="00351F33" w:rsidRDefault="00D4462D" w:rsidP="009E3EF6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Clauses 4.12 and 4.13 provide additional clarity on the operation of disclosure options and approvals.</w:t>
            </w:r>
            <w:r>
              <w:rPr>
                <w:rStyle w:val="CommentReference"/>
              </w:rPr>
              <w:t xml:space="preserve"> </w:t>
            </w:r>
          </w:p>
        </w:tc>
      </w:tr>
      <w:tr w:rsidR="005700B2" w14:paraId="7BF1E630" w14:textId="77777777" w:rsidTr="009E3EF6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3F80536" w14:textId="3D6CD537" w:rsidR="005700B2" w:rsidRDefault="005700B2" w:rsidP="005700B2">
            <w:pPr>
              <w:rPr>
                <w:b w:val="0"/>
              </w:rPr>
            </w:pPr>
            <w:r>
              <w:rPr>
                <w:b w:val="0"/>
              </w:rPr>
              <w:lastRenderedPageBreak/>
              <w:t>Data holder notifications</w:t>
            </w:r>
          </w:p>
        </w:tc>
        <w:tc>
          <w:tcPr>
            <w:tcW w:w="1603" w:type="dxa"/>
          </w:tcPr>
          <w:p w14:paraId="4CECCAB3" w14:textId="133C62A5" w:rsidR="005700B2" w:rsidRPr="00B12442" w:rsidRDefault="005700B2" w:rsidP="0057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DF9">
              <w:t>N/A</w:t>
            </w:r>
          </w:p>
        </w:tc>
        <w:tc>
          <w:tcPr>
            <w:tcW w:w="1843" w:type="dxa"/>
          </w:tcPr>
          <w:p w14:paraId="0EA1083F" w14:textId="39514DFA" w:rsidR="005700B2" w:rsidRPr="00C31AF1" w:rsidRDefault="005700B2" w:rsidP="0057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Toc51337640"/>
            <w:r w:rsidRPr="00C31AF1">
              <w:t>Schedule 3 clause</w:t>
            </w:r>
            <w:r w:rsidR="00261C0D">
              <w:t>s 4.7</w:t>
            </w:r>
            <w:r w:rsidR="00D4462D">
              <w:t>, 4.11,</w:t>
            </w:r>
            <w:r w:rsidR="00261C0D">
              <w:t xml:space="preserve"> and</w:t>
            </w:r>
            <w:r w:rsidRPr="00C31AF1">
              <w:t xml:space="preserve"> 4.16</w:t>
            </w:r>
          </w:p>
          <w:bookmarkEnd w:id="2"/>
          <w:p w14:paraId="332905F3" w14:textId="77777777" w:rsidR="005700B2" w:rsidRPr="00B12442" w:rsidRDefault="005700B2" w:rsidP="0057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72" w:type="dxa"/>
          </w:tcPr>
          <w:p w14:paraId="23C484C3" w14:textId="0E846673" w:rsidR="00407166" w:rsidRDefault="00017FAA" w:rsidP="009E3EF6">
            <w:pPr>
              <w:pStyle w:val="ListParagraph"/>
              <w:numPr>
                <w:ilvl w:val="0"/>
                <w:numId w:val="3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2</w:t>
            </w:r>
            <w:r w:rsidR="00375F27">
              <w:t xml:space="preserve"> </w:t>
            </w:r>
            <w:r w:rsidR="00F244EE">
              <w:t>introduce</w:t>
            </w:r>
            <w:r>
              <w:t>s notification</w:t>
            </w:r>
            <w:r w:rsidR="00F244EE">
              <w:t xml:space="preserve"> requirements tha</w:t>
            </w:r>
            <w:r w:rsidR="00B54A54">
              <w:t>t were not present in version 1</w:t>
            </w:r>
            <w:r w:rsidR="00407166">
              <w:t xml:space="preserve"> </w:t>
            </w:r>
            <w:r w:rsidR="00A841BE">
              <w:t>to ensure consistent consumer experience</w:t>
            </w:r>
            <w:r w:rsidR="00407166">
              <w:t xml:space="preserve">.  </w:t>
            </w:r>
          </w:p>
          <w:p w14:paraId="47D61BB6" w14:textId="0AE41525" w:rsidR="005700B2" w:rsidRDefault="00407166" w:rsidP="009E3EF6">
            <w:pPr>
              <w:pStyle w:val="ListParagraph"/>
              <w:numPr>
                <w:ilvl w:val="0"/>
                <w:numId w:val="3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requirements provide clarity about </w:t>
            </w:r>
            <w:r w:rsidR="00375F27">
              <w:t xml:space="preserve">notifications, invitations and information </w:t>
            </w:r>
            <w:r w:rsidR="00017FAA">
              <w:t>that must</w:t>
            </w:r>
            <w:r w:rsidR="00375F27">
              <w:t xml:space="preserve"> be presented to consumers</w:t>
            </w:r>
            <w:r w:rsidR="00A20FFF">
              <w:t xml:space="preserve"> (including in relation to requests made by secondary users)</w:t>
            </w:r>
            <w:r>
              <w:t>.</w:t>
            </w:r>
          </w:p>
        </w:tc>
      </w:tr>
      <w:tr w:rsidR="005700B2" w14:paraId="348A4CA1" w14:textId="77777777" w:rsidTr="00D45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522C7D3B" w14:textId="1E8F0AF7" w:rsidR="005700B2" w:rsidRPr="001369DB" w:rsidRDefault="005700B2" w:rsidP="005700B2">
            <w:pPr>
              <w:rPr>
                <w:b w:val="0"/>
              </w:rPr>
            </w:pPr>
            <w:r>
              <w:rPr>
                <w:b w:val="0"/>
              </w:rPr>
              <w:t>Indicating a disclosure option as part of the authorisation flow</w:t>
            </w:r>
          </w:p>
        </w:tc>
        <w:tc>
          <w:tcPr>
            <w:tcW w:w="1603" w:type="dxa"/>
          </w:tcPr>
          <w:p w14:paraId="07CB93C0" w14:textId="467DC925" w:rsidR="005700B2" w:rsidRPr="00B12442" w:rsidRDefault="005700B2" w:rsidP="0057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2442">
              <w:t>Schedule 3 clauses 4.3 and 4.5</w:t>
            </w:r>
          </w:p>
        </w:tc>
        <w:tc>
          <w:tcPr>
            <w:tcW w:w="1843" w:type="dxa"/>
          </w:tcPr>
          <w:p w14:paraId="712268D9" w14:textId="6B0BF57F" w:rsidR="005700B2" w:rsidRPr="00351F33" w:rsidRDefault="005700B2" w:rsidP="00D44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_Toc51337629"/>
            <w:r w:rsidRPr="00B12442">
              <w:t xml:space="preserve">Schedule 3 clauses </w:t>
            </w:r>
            <w:bookmarkEnd w:id="3"/>
            <w:r w:rsidR="00D4462D">
              <w:t>4.10</w:t>
            </w:r>
          </w:p>
        </w:tc>
        <w:tc>
          <w:tcPr>
            <w:tcW w:w="8872" w:type="dxa"/>
          </w:tcPr>
          <w:p w14:paraId="10129928" w14:textId="1379223C" w:rsidR="00407166" w:rsidRPr="00351F33" w:rsidRDefault="005700B2" w:rsidP="00D45F75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Where a disclosure option is not already in place, clause 4.10 requires data holders to ask consumers to indicate a disclosure option as part of the authorisation flow (commonly referred to as the ‘in flow election’). This clause replaces clause 4.3(3) of version 1 which prohibited data holders seeking authorisations where a disclosure option was not in place.  </w:t>
            </w:r>
            <w:bookmarkStart w:id="4" w:name="_GoBack"/>
            <w:bookmarkEnd w:id="4"/>
          </w:p>
        </w:tc>
      </w:tr>
      <w:tr w:rsidR="005700B2" w14:paraId="1E48A544" w14:textId="77777777" w:rsidTr="009E3EF6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38AA7FB3" w14:textId="77777777" w:rsidR="005700B2" w:rsidRPr="009F7D5E" w:rsidRDefault="005700B2" w:rsidP="005700B2">
            <w:pPr>
              <w:rPr>
                <w:b w:val="0"/>
              </w:rPr>
            </w:pPr>
            <w:r>
              <w:rPr>
                <w:b w:val="0"/>
              </w:rPr>
              <w:t>Consumer dashboards</w:t>
            </w:r>
          </w:p>
        </w:tc>
        <w:tc>
          <w:tcPr>
            <w:tcW w:w="1603" w:type="dxa"/>
          </w:tcPr>
          <w:p w14:paraId="00CE3296" w14:textId="2AE718B8" w:rsidR="005700B2" w:rsidRPr="0024751A" w:rsidRDefault="005700B2" w:rsidP="0057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bookmarkStart w:id="5" w:name="_Toc11771738"/>
            <w:r w:rsidRPr="0024751A">
              <w:t>Schedule 3 clause 4.4</w:t>
            </w:r>
            <w:bookmarkEnd w:id="5"/>
          </w:p>
        </w:tc>
        <w:tc>
          <w:tcPr>
            <w:tcW w:w="1843" w:type="dxa"/>
          </w:tcPr>
          <w:p w14:paraId="19CAE6B9" w14:textId="0AAB8238" w:rsidR="005700B2" w:rsidRPr="00351F33" w:rsidRDefault="005700B2" w:rsidP="00017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" w:name="_Toc41042950"/>
            <w:r w:rsidRPr="0024751A">
              <w:t>Schedule 3 clauses 4.14 and 4.15</w:t>
            </w:r>
            <w:bookmarkEnd w:id="6"/>
          </w:p>
        </w:tc>
        <w:tc>
          <w:tcPr>
            <w:tcW w:w="8872" w:type="dxa"/>
          </w:tcPr>
          <w:p w14:paraId="1801F60A" w14:textId="259D7469" w:rsidR="005700B2" w:rsidRPr="00351F33" w:rsidRDefault="005700B2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Substantially the same as version 1, language of ‘approval’ replaces ‘authorisation’ to align with technical implementation requirements.</w:t>
            </w:r>
          </w:p>
        </w:tc>
      </w:tr>
      <w:tr w:rsidR="005700B2" w14:paraId="1F92EF14" w14:textId="77777777" w:rsidTr="009E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63F8EE0E" w14:textId="77777777" w:rsidR="005700B2" w:rsidRDefault="005700B2" w:rsidP="005700B2">
            <w:pPr>
              <w:rPr>
                <w:b w:val="0"/>
              </w:rPr>
            </w:pPr>
            <w:r>
              <w:rPr>
                <w:b w:val="0"/>
              </w:rPr>
              <w:t>Vulnerable consumers</w:t>
            </w:r>
          </w:p>
        </w:tc>
        <w:tc>
          <w:tcPr>
            <w:tcW w:w="1603" w:type="dxa"/>
          </w:tcPr>
          <w:p w14:paraId="019729C4" w14:textId="0635F606" w:rsidR="005700B2" w:rsidRPr="00DF7C12" w:rsidRDefault="005700B2" w:rsidP="0057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bookmarkStart w:id="7" w:name="_Toc53487298"/>
            <w:r>
              <w:t xml:space="preserve">Rule 4.7 and </w:t>
            </w:r>
            <w:r w:rsidRPr="00DF7C12">
              <w:t>Schedule 3 clause 4.6</w:t>
            </w:r>
            <w:bookmarkEnd w:id="7"/>
          </w:p>
        </w:tc>
        <w:tc>
          <w:tcPr>
            <w:tcW w:w="1843" w:type="dxa"/>
          </w:tcPr>
          <w:p w14:paraId="264C5431" w14:textId="79A61D93" w:rsidR="005700B2" w:rsidRPr="00351F33" w:rsidRDefault="005700B2" w:rsidP="0057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1D9">
              <w:t>Schedule 3 clauses 4.13(3), 4.13(4), 4.14(4), 4.16(3)</w:t>
            </w:r>
          </w:p>
        </w:tc>
        <w:tc>
          <w:tcPr>
            <w:tcW w:w="8872" w:type="dxa"/>
          </w:tcPr>
          <w:p w14:paraId="772224CD" w14:textId="77777777" w:rsidR="00407166" w:rsidRDefault="005700B2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Version 1 contained exception</w:t>
            </w:r>
            <w:r w:rsidR="00ED7336">
              <w:t>s</w:t>
            </w:r>
            <w:r>
              <w:t xml:space="preserve"> to </w:t>
            </w:r>
            <w:r w:rsidR="00ED7336">
              <w:t>the requirements for</w:t>
            </w:r>
            <w:r>
              <w:t xml:space="preserve"> data holders to disclose required consumer data and </w:t>
            </w:r>
            <w:r w:rsidR="00ED7336">
              <w:t xml:space="preserve">update the consumer dashboard, where the data holder considered it necessary in order to prevent physical or financial harm or abuse. </w:t>
            </w:r>
          </w:p>
          <w:p w14:paraId="036AE722" w14:textId="259808FC" w:rsidR="005700B2" w:rsidRDefault="00ED7336" w:rsidP="00A20FFF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Version 2 retains the</w:t>
            </w:r>
            <w:r w:rsidR="00F47902">
              <w:t>se</w:t>
            </w:r>
            <w:r w:rsidR="00DE4948">
              <w:t xml:space="preserve"> exceptions and </w:t>
            </w:r>
            <w:r>
              <w:t xml:space="preserve">introduces additional </w:t>
            </w:r>
            <w:r w:rsidR="006730F1">
              <w:t>provisions that</w:t>
            </w:r>
            <w:r w:rsidR="00DE4948">
              <w:t xml:space="preserve"> allow</w:t>
            </w:r>
            <w:r>
              <w:t xml:space="preserve"> data holders to share</w:t>
            </w:r>
            <w:r w:rsidR="00F47902">
              <w:t xml:space="preserve"> CDR </w:t>
            </w:r>
            <w:r w:rsidR="00017FAA">
              <w:t xml:space="preserve">data </w:t>
            </w:r>
            <w:r w:rsidR="00DE4948">
              <w:t>as if the account were held in the name of one person alone, where the data holder considers it necessary in order to prevent physical or financial harm or abuse</w:t>
            </w:r>
            <w:r w:rsidR="00D02BD1">
              <w:t>.</w:t>
            </w:r>
          </w:p>
          <w:p w14:paraId="03D50E51" w14:textId="549D7427" w:rsidR="005700B2" w:rsidRPr="00351F33" w:rsidRDefault="006730F1" w:rsidP="006730F1">
            <w:pPr>
              <w:pStyle w:val="ListParagraph"/>
              <w:numPr>
                <w:ilvl w:val="0"/>
                <w:numId w:val="31"/>
              </w:numPr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These provisions are not mandatory obligations but exceptions that can be relied on by data holders in appropriate circumstances (for example</w:t>
            </w:r>
            <w:r w:rsidR="00C7501E">
              <w:t>,</w:t>
            </w:r>
            <w:r>
              <w:t xml:space="preserve"> where they have identified a consumer as vulnerable in accordance with their existing procedures and processes)</w:t>
            </w:r>
            <w:r w:rsidR="005700B2">
              <w:t xml:space="preserve">. </w:t>
            </w:r>
          </w:p>
        </w:tc>
      </w:tr>
    </w:tbl>
    <w:p w14:paraId="0905A8B5" w14:textId="77777777" w:rsidR="00EB7A19" w:rsidRDefault="00EB7A19"/>
    <w:sectPr w:rsidR="00EB7A19" w:rsidSect="00EB7A19">
      <w:footerReference w:type="default" r:id="rId9"/>
      <w:footerReference w:type="first" r:id="rId10"/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2182" w14:textId="77777777" w:rsidR="00EB7A19" w:rsidRDefault="00EB7A19" w:rsidP="004B4412">
      <w:pPr>
        <w:spacing w:before="0"/>
      </w:pPr>
      <w:r>
        <w:separator/>
      </w:r>
    </w:p>
  </w:endnote>
  <w:endnote w:type="continuationSeparator" w:id="0">
    <w:p w14:paraId="169810FA" w14:textId="77777777" w:rsidR="00EB7A19" w:rsidRDefault="00EB7A1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514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C7D73" w14:textId="106AE10D" w:rsidR="00FE0A98" w:rsidRDefault="00FE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F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859E3C" w14:textId="77777777" w:rsidR="00FE0A98" w:rsidRDefault="00FE0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2ACB" w14:textId="77777777" w:rsidR="00691616" w:rsidRDefault="00691616">
    <w:pPr>
      <w:pStyle w:val="Footer"/>
    </w:pPr>
  </w:p>
  <w:p w14:paraId="7DBA5A40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7C08" w14:textId="77777777" w:rsidR="00EB7A19" w:rsidRDefault="00EB7A19" w:rsidP="004B4412">
      <w:pPr>
        <w:spacing w:before="0"/>
      </w:pPr>
      <w:r>
        <w:separator/>
      </w:r>
    </w:p>
  </w:footnote>
  <w:footnote w:type="continuationSeparator" w:id="0">
    <w:p w14:paraId="3F468649" w14:textId="77777777" w:rsidR="00EB7A19" w:rsidRDefault="00EB7A19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7E341C9"/>
    <w:multiLevelType w:val="hybridMultilevel"/>
    <w:tmpl w:val="F5AA1A5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A92CAE"/>
    <w:multiLevelType w:val="hybridMultilevel"/>
    <w:tmpl w:val="77740B1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85B0A2C"/>
    <w:multiLevelType w:val="hybridMultilevel"/>
    <w:tmpl w:val="E5269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7E00B4"/>
    <w:multiLevelType w:val="hybridMultilevel"/>
    <w:tmpl w:val="49AA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3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8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9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5"/>
  </w:num>
  <w:num w:numId="10">
    <w:abstractNumId w:val="19"/>
  </w:num>
  <w:num w:numId="11">
    <w:abstractNumId w:val="10"/>
  </w:num>
  <w:num w:numId="12">
    <w:abstractNumId w:val="15"/>
  </w:num>
  <w:num w:numId="13">
    <w:abstractNumId w:val="18"/>
  </w:num>
  <w:num w:numId="14">
    <w:abstractNumId w:val="2"/>
  </w:num>
  <w:num w:numId="15">
    <w:abstractNumId w:val="26"/>
  </w:num>
  <w:num w:numId="16">
    <w:abstractNumId w:val="29"/>
  </w:num>
  <w:num w:numId="17">
    <w:abstractNumId w:val="28"/>
  </w:num>
  <w:num w:numId="18">
    <w:abstractNumId w:val="22"/>
  </w:num>
  <w:num w:numId="19">
    <w:abstractNumId w:val="17"/>
  </w:num>
  <w:num w:numId="20">
    <w:abstractNumId w:val="20"/>
  </w:num>
  <w:num w:numId="21">
    <w:abstractNumId w:val="27"/>
  </w:num>
  <w:num w:numId="22">
    <w:abstractNumId w:val="23"/>
  </w:num>
  <w:num w:numId="23">
    <w:abstractNumId w:val="8"/>
  </w:num>
  <w:num w:numId="24">
    <w:abstractNumId w:val="3"/>
  </w:num>
  <w:num w:numId="25">
    <w:abstractNumId w:val="21"/>
  </w:num>
  <w:num w:numId="26">
    <w:abstractNumId w:val="13"/>
  </w:num>
  <w:num w:numId="27">
    <w:abstractNumId w:val="24"/>
  </w:num>
  <w:num w:numId="28">
    <w:abstractNumId w:val="9"/>
  </w:num>
  <w:num w:numId="29">
    <w:abstractNumId w:val="16"/>
  </w:num>
  <w:num w:numId="30">
    <w:abstractNumId w:val="12"/>
  </w:num>
  <w:num w:numId="31">
    <w:abstractNumId w:val="14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EB7A19"/>
    <w:rsid w:val="00011DDC"/>
    <w:rsid w:val="000164B5"/>
    <w:rsid w:val="00017511"/>
    <w:rsid w:val="00017FAA"/>
    <w:rsid w:val="0002115F"/>
    <w:rsid w:val="00021202"/>
    <w:rsid w:val="000225C4"/>
    <w:rsid w:val="0002508C"/>
    <w:rsid w:val="0003578C"/>
    <w:rsid w:val="000456C0"/>
    <w:rsid w:val="00057D29"/>
    <w:rsid w:val="00063247"/>
    <w:rsid w:val="00070F9F"/>
    <w:rsid w:val="0007137B"/>
    <w:rsid w:val="00085663"/>
    <w:rsid w:val="00085EBF"/>
    <w:rsid w:val="00097940"/>
    <w:rsid w:val="000B61E3"/>
    <w:rsid w:val="000D122C"/>
    <w:rsid w:val="000E1819"/>
    <w:rsid w:val="000E4BEE"/>
    <w:rsid w:val="000E6C72"/>
    <w:rsid w:val="000F2368"/>
    <w:rsid w:val="00106CFB"/>
    <w:rsid w:val="00112951"/>
    <w:rsid w:val="00116EB2"/>
    <w:rsid w:val="00124609"/>
    <w:rsid w:val="0012520A"/>
    <w:rsid w:val="001369DB"/>
    <w:rsid w:val="001573E4"/>
    <w:rsid w:val="00160756"/>
    <w:rsid w:val="00161619"/>
    <w:rsid w:val="0017232E"/>
    <w:rsid w:val="00174102"/>
    <w:rsid w:val="00180157"/>
    <w:rsid w:val="00181223"/>
    <w:rsid w:val="00186F77"/>
    <w:rsid w:val="00186FAC"/>
    <w:rsid w:val="001926A4"/>
    <w:rsid w:val="001A3354"/>
    <w:rsid w:val="001A3A19"/>
    <w:rsid w:val="001B1CE7"/>
    <w:rsid w:val="001B246B"/>
    <w:rsid w:val="001B3CCA"/>
    <w:rsid w:val="001B45A0"/>
    <w:rsid w:val="001C032E"/>
    <w:rsid w:val="001C18EE"/>
    <w:rsid w:val="001D055E"/>
    <w:rsid w:val="001D3C78"/>
    <w:rsid w:val="001E4978"/>
    <w:rsid w:val="001F492E"/>
    <w:rsid w:val="001F6DA3"/>
    <w:rsid w:val="00212737"/>
    <w:rsid w:val="00217F8B"/>
    <w:rsid w:val="00220359"/>
    <w:rsid w:val="00224DB9"/>
    <w:rsid w:val="0024751A"/>
    <w:rsid w:val="00251745"/>
    <w:rsid w:val="00256875"/>
    <w:rsid w:val="00261C0D"/>
    <w:rsid w:val="00263AC0"/>
    <w:rsid w:val="0026772D"/>
    <w:rsid w:val="00270661"/>
    <w:rsid w:val="00286874"/>
    <w:rsid w:val="00287EC9"/>
    <w:rsid w:val="00296B65"/>
    <w:rsid w:val="002A31A5"/>
    <w:rsid w:val="002A5F0F"/>
    <w:rsid w:val="002A61AA"/>
    <w:rsid w:val="002A7DEF"/>
    <w:rsid w:val="002B3D77"/>
    <w:rsid w:val="002D01D9"/>
    <w:rsid w:val="002D7D45"/>
    <w:rsid w:val="002F7986"/>
    <w:rsid w:val="00303C4A"/>
    <w:rsid w:val="00307F6D"/>
    <w:rsid w:val="003177A2"/>
    <w:rsid w:val="003257E6"/>
    <w:rsid w:val="003271B5"/>
    <w:rsid w:val="00330102"/>
    <w:rsid w:val="003301BA"/>
    <w:rsid w:val="00330CA0"/>
    <w:rsid w:val="00331264"/>
    <w:rsid w:val="00334C8D"/>
    <w:rsid w:val="003358FC"/>
    <w:rsid w:val="00340655"/>
    <w:rsid w:val="003459E6"/>
    <w:rsid w:val="003518B3"/>
    <w:rsid w:val="00351F33"/>
    <w:rsid w:val="00364E87"/>
    <w:rsid w:val="00371641"/>
    <w:rsid w:val="00375F27"/>
    <w:rsid w:val="003846F1"/>
    <w:rsid w:val="00391C4A"/>
    <w:rsid w:val="003978EA"/>
    <w:rsid w:val="003A3B51"/>
    <w:rsid w:val="003A52A9"/>
    <w:rsid w:val="003A673F"/>
    <w:rsid w:val="003B165B"/>
    <w:rsid w:val="003B5A70"/>
    <w:rsid w:val="003E5789"/>
    <w:rsid w:val="003E72F3"/>
    <w:rsid w:val="00407166"/>
    <w:rsid w:val="0041638D"/>
    <w:rsid w:val="00427CD5"/>
    <w:rsid w:val="00440992"/>
    <w:rsid w:val="00451ED3"/>
    <w:rsid w:val="00472F7E"/>
    <w:rsid w:val="00475DDE"/>
    <w:rsid w:val="00480B4B"/>
    <w:rsid w:val="00483C5C"/>
    <w:rsid w:val="00485DC4"/>
    <w:rsid w:val="004B4412"/>
    <w:rsid w:val="004B70C8"/>
    <w:rsid w:val="004C348C"/>
    <w:rsid w:val="004D1733"/>
    <w:rsid w:val="004D55BA"/>
    <w:rsid w:val="004E1F3F"/>
    <w:rsid w:val="005038DB"/>
    <w:rsid w:val="00521759"/>
    <w:rsid w:val="0052379B"/>
    <w:rsid w:val="00530128"/>
    <w:rsid w:val="00532467"/>
    <w:rsid w:val="00547BA2"/>
    <w:rsid w:val="00547CCF"/>
    <w:rsid w:val="00551672"/>
    <w:rsid w:val="00562220"/>
    <w:rsid w:val="00564A4D"/>
    <w:rsid w:val="00565C2F"/>
    <w:rsid w:val="0056708B"/>
    <w:rsid w:val="005700B2"/>
    <w:rsid w:val="00571B35"/>
    <w:rsid w:val="00571C9F"/>
    <w:rsid w:val="00577A09"/>
    <w:rsid w:val="00580B78"/>
    <w:rsid w:val="00584D8F"/>
    <w:rsid w:val="00596D42"/>
    <w:rsid w:val="005A066B"/>
    <w:rsid w:val="005A404D"/>
    <w:rsid w:val="005B1E3C"/>
    <w:rsid w:val="005C24AC"/>
    <w:rsid w:val="005C26CC"/>
    <w:rsid w:val="005C5301"/>
    <w:rsid w:val="005E6C0E"/>
    <w:rsid w:val="005F5B1E"/>
    <w:rsid w:val="006078AB"/>
    <w:rsid w:val="00615C6B"/>
    <w:rsid w:val="00621F51"/>
    <w:rsid w:val="00630106"/>
    <w:rsid w:val="00632D6D"/>
    <w:rsid w:val="00642C3E"/>
    <w:rsid w:val="00644212"/>
    <w:rsid w:val="00646025"/>
    <w:rsid w:val="006505AB"/>
    <w:rsid w:val="00650A55"/>
    <w:rsid w:val="00663DAD"/>
    <w:rsid w:val="006730F1"/>
    <w:rsid w:val="00676679"/>
    <w:rsid w:val="0069109F"/>
    <w:rsid w:val="00691616"/>
    <w:rsid w:val="006B4CF9"/>
    <w:rsid w:val="006B7AC8"/>
    <w:rsid w:val="006D2A68"/>
    <w:rsid w:val="006D550F"/>
    <w:rsid w:val="006D77F3"/>
    <w:rsid w:val="006E246E"/>
    <w:rsid w:val="006F434E"/>
    <w:rsid w:val="00701CAB"/>
    <w:rsid w:val="00707563"/>
    <w:rsid w:val="0072348C"/>
    <w:rsid w:val="00724A37"/>
    <w:rsid w:val="00726E72"/>
    <w:rsid w:val="007303C3"/>
    <w:rsid w:val="00730C1C"/>
    <w:rsid w:val="00743223"/>
    <w:rsid w:val="00746E01"/>
    <w:rsid w:val="00763E5D"/>
    <w:rsid w:val="00767740"/>
    <w:rsid w:val="00775671"/>
    <w:rsid w:val="00777EE6"/>
    <w:rsid w:val="00782EEA"/>
    <w:rsid w:val="00793926"/>
    <w:rsid w:val="007B2C72"/>
    <w:rsid w:val="007C1C53"/>
    <w:rsid w:val="007E0789"/>
    <w:rsid w:val="007E1EA0"/>
    <w:rsid w:val="007E26A9"/>
    <w:rsid w:val="007E4904"/>
    <w:rsid w:val="007E4CB5"/>
    <w:rsid w:val="007F066B"/>
    <w:rsid w:val="008033C4"/>
    <w:rsid w:val="00803A59"/>
    <w:rsid w:val="00805F4D"/>
    <w:rsid w:val="00806C88"/>
    <w:rsid w:val="0081034E"/>
    <w:rsid w:val="00830C06"/>
    <w:rsid w:val="008344F6"/>
    <w:rsid w:val="0083510F"/>
    <w:rsid w:val="00851209"/>
    <w:rsid w:val="00873FFA"/>
    <w:rsid w:val="0088007E"/>
    <w:rsid w:val="008837AC"/>
    <w:rsid w:val="008945B4"/>
    <w:rsid w:val="008A587D"/>
    <w:rsid w:val="008B4E41"/>
    <w:rsid w:val="008C1D73"/>
    <w:rsid w:val="008C5486"/>
    <w:rsid w:val="008C6F54"/>
    <w:rsid w:val="008E2C18"/>
    <w:rsid w:val="008E6A86"/>
    <w:rsid w:val="008E7031"/>
    <w:rsid w:val="00904EB8"/>
    <w:rsid w:val="00922C95"/>
    <w:rsid w:val="009233EE"/>
    <w:rsid w:val="0093685A"/>
    <w:rsid w:val="00946A51"/>
    <w:rsid w:val="009661DE"/>
    <w:rsid w:val="009856B7"/>
    <w:rsid w:val="0098602B"/>
    <w:rsid w:val="00991B3B"/>
    <w:rsid w:val="009962BA"/>
    <w:rsid w:val="009A5C5A"/>
    <w:rsid w:val="009B74B0"/>
    <w:rsid w:val="009C152D"/>
    <w:rsid w:val="009D4414"/>
    <w:rsid w:val="009D5179"/>
    <w:rsid w:val="009D6B46"/>
    <w:rsid w:val="009E3EF6"/>
    <w:rsid w:val="009F4940"/>
    <w:rsid w:val="009F7D5E"/>
    <w:rsid w:val="00A0248C"/>
    <w:rsid w:val="00A1665B"/>
    <w:rsid w:val="00A168EF"/>
    <w:rsid w:val="00A20FFF"/>
    <w:rsid w:val="00A23A27"/>
    <w:rsid w:val="00A323D9"/>
    <w:rsid w:val="00A42571"/>
    <w:rsid w:val="00A4478A"/>
    <w:rsid w:val="00A44852"/>
    <w:rsid w:val="00A54EB2"/>
    <w:rsid w:val="00A57D04"/>
    <w:rsid w:val="00A60A26"/>
    <w:rsid w:val="00A61598"/>
    <w:rsid w:val="00A841BE"/>
    <w:rsid w:val="00A84F46"/>
    <w:rsid w:val="00A871F4"/>
    <w:rsid w:val="00AB42ED"/>
    <w:rsid w:val="00AC1B2C"/>
    <w:rsid w:val="00AC3264"/>
    <w:rsid w:val="00AC3E35"/>
    <w:rsid w:val="00AC6F01"/>
    <w:rsid w:val="00AD1906"/>
    <w:rsid w:val="00AE0FE2"/>
    <w:rsid w:val="00AE1BF1"/>
    <w:rsid w:val="00AF0DD2"/>
    <w:rsid w:val="00B055D1"/>
    <w:rsid w:val="00B10314"/>
    <w:rsid w:val="00B12442"/>
    <w:rsid w:val="00B13048"/>
    <w:rsid w:val="00B15998"/>
    <w:rsid w:val="00B160A6"/>
    <w:rsid w:val="00B1716D"/>
    <w:rsid w:val="00B17A1D"/>
    <w:rsid w:val="00B207A0"/>
    <w:rsid w:val="00B44CBC"/>
    <w:rsid w:val="00B54A54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B5740"/>
    <w:rsid w:val="00BD3446"/>
    <w:rsid w:val="00BE0328"/>
    <w:rsid w:val="00BE1F1B"/>
    <w:rsid w:val="00BE47B5"/>
    <w:rsid w:val="00BE4C99"/>
    <w:rsid w:val="00C01B2C"/>
    <w:rsid w:val="00C058AB"/>
    <w:rsid w:val="00C06739"/>
    <w:rsid w:val="00C235C1"/>
    <w:rsid w:val="00C23DCA"/>
    <w:rsid w:val="00C31AF1"/>
    <w:rsid w:val="00C4603F"/>
    <w:rsid w:val="00C538A9"/>
    <w:rsid w:val="00C53B5A"/>
    <w:rsid w:val="00C54F5A"/>
    <w:rsid w:val="00C7501E"/>
    <w:rsid w:val="00C755AD"/>
    <w:rsid w:val="00C86679"/>
    <w:rsid w:val="00C92EB9"/>
    <w:rsid w:val="00CA043E"/>
    <w:rsid w:val="00CA1FBC"/>
    <w:rsid w:val="00CB666B"/>
    <w:rsid w:val="00CC255A"/>
    <w:rsid w:val="00CC3DD7"/>
    <w:rsid w:val="00CF312C"/>
    <w:rsid w:val="00CF799E"/>
    <w:rsid w:val="00D01CF0"/>
    <w:rsid w:val="00D02BD1"/>
    <w:rsid w:val="00D0442A"/>
    <w:rsid w:val="00D143FE"/>
    <w:rsid w:val="00D203E1"/>
    <w:rsid w:val="00D23723"/>
    <w:rsid w:val="00D4462D"/>
    <w:rsid w:val="00D45F75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A37A2"/>
    <w:rsid w:val="00DB0F93"/>
    <w:rsid w:val="00DC20DD"/>
    <w:rsid w:val="00DC231A"/>
    <w:rsid w:val="00DC542F"/>
    <w:rsid w:val="00DC7981"/>
    <w:rsid w:val="00DE10F4"/>
    <w:rsid w:val="00DE4948"/>
    <w:rsid w:val="00DE4EFA"/>
    <w:rsid w:val="00DE5520"/>
    <w:rsid w:val="00DF7C12"/>
    <w:rsid w:val="00E04818"/>
    <w:rsid w:val="00E06442"/>
    <w:rsid w:val="00E124ED"/>
    <w:rsid w:val="00E23993"/>
    <w:rsid w:val="00E25B8C"/>
    <w:rsid w:val="00E27642"/>
    <w:rsid w:val="00E43BAD"/>
    <w:rsid w:val="00E45993"/>
    <w:rsid w:val="00E4674F"/>
    <w:rsid w:val="00E65C85"/>
    <w:rsid w:val="00E66199"/>
    <w:rsid w:val="00E755EC"/>
    <w:rsid w:val="00E7624D"/>
    <w:rsid w:val="00EA3D42"/>
    <w:rsid w:val="00EA6B1B"/>
    <w:rsid w:val="00EB2EF8"/>
    <w:rsid w:val="00EB7A19"/>
    <w:rsid w:val="00EC3DF9"/>
    <w:rsid w:val="00ED5F6F"/>
    <w:rsid w:val="00ED7336"/>
    <w:rsid w:val="00EE28F3"/>
    <w:rsid w:val="00EF5110"/>
    <w:rsid w:val="00F078E8"/>
    <w:rsid w:val="00F15882"/>
    <w:rsid w:val="00F20BD3"/>
    <w:rsid w:val="00F244EE"/>
    <w:rsid w:val="00F373A5"/>
    <w:rsid w:val="00F4038B"/>
    <w:rsid w:val="00F47559"/>
    <w:rsid w:val="00F47902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A98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5CD7"/>
  <w15:chartTrackingRefBased/>
  <w15:docId w15:val="{A9928855-F094-4C12-8B23-689D7C7C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PlainTable1">
    <w:name w:val="Plain Table 1"/>
    <w:basedOn w:val="TableNormal"/>
    <w:uiPriority w:val="41"/>
    <w:rsid w:val="00EB7A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cthead5">
    <w:name w:val="acthead5"/>
    <w:basedOn w:val="Normal"/>
    <w:rsid w:val="00B05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B05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05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B05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B05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136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0456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4">
    <w:name w:val="acthead4"/>
    <w:basedOn w:val="Normal"/>
    <w:rsid w:val="0044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0">
    <w:name w:val="subsection20"/>
    <w:basedOn w:val="Normal"/>
    <w:rsid w:val="0044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161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6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CF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F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A20AF-F49D-43B1-8F5A-EB7DD3C2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Moschis, Lucia</dc:creator>
  <cp:keywords/>
  <dc:description/>
  <cp:lastModifiedBy>J Gates</cp:lastModifiedBy>
  <cp:revision>13</cp:revision>
  <dcterms:created xsi:type="dcterms:W3CDTF">2021-02-02T07:17:00Z</dcterms:created>
  <dcterms:modified xsi:type="dcterms:W3CDTF">2021-02-04T02:01:00Z</dcterms:modified>
</cp:coreProperties>
</file>